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24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Paper structure</w:t>
      </w:r>
    </w:p>
    <w:p>
      <w:pPr>
        <w:pStyle w:val="3"/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Interview preparation</w:t>
      </w:r>
    </w:p>
    <w:p>
      <w:pPr>
        <w:pStyle w:val="5"/>
        <w:numPr>
          <w:numId w:val="0"/>
        </w:numPr>
        <w:bidi w:val="0"/>
        <w:spacing w:line="240" w:lineRule="auto"/>
        <w:ind w:leftChars="0"/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  <w:t>Informed consent from</w:t>
      </w:r>
    </w:p>
    <w:p>
      <w:pPr>
        <w:pStyle w:val="5"/>
        <w:numPr>
          <w:numId w:val="0"/>
        </w:numPr>
        <w:bidi w:val="0"/>
        <w:spacing w:line="240" w:lineRule="auto"/>
        <w:ind w:leftChars="0"/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  <w:t>Interview questions</w:t>
      </w:r>
    </w:p>
    <w:p>
      <w:pPr>
        <w:pStyle w:val="5"/>
        <w:numPr>
          <w:numId w:val="0"/>
        </w:numPr>
        <w:bidi w:val="0"/>
        <w:spacing w:line="240" w:lineRule="auto"/>
        <w:ind w:leftChars="0"/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  <w:t>Interview type</w:t>
      </w:r>
    </w:p>
    <w:p>
      <w:pPr>
        <w:pStyle w:val="5"/>
        <w:numPr>
          <w:numId w:val="0"/>
        </w:numPr>
        <w:bidi w:val="0"/>
        <w:spacing w:line="240" w:lineRule="auto"/>
        <w:ind w:leftChars="0"/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  <w:t>Interview teams and timing</w:t>
      </w:r>
    </w:p>
    <w:p>
      <w:pPr>
        <w:pStyle w:val="5"/>
        <w:numPr>
          <w:numId w:val="0"/>
        </w:numPr>
        <w:bidi w:val="0"/>
        <w:spacing w:line="240" w:lineRule="auto"/>
        <w:ind w:leftChars="0"/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  <w:t>Phases of ethnographic interviews</w:t>
      </w:r>
    </w:p>
    <w:p>
      <w:pPr>
        <w:pStyle w:val="5"/>
        <w:numPr>
          <w:numId w:val="0"/>
        </w:numPr>
        <w:bidi w:val="0"/>
        <w:spacing w:line="240" w:lineRule="auto"/>
        <w:ind w:leftChars="0"/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  <w:t>Basic  methods we use</w:t>
      </w:r>
      <w:bookmarkStart w:id="0" w:name="_GoBack"/>
      <w:bookmarkEnd w:id="0"/>
    </w:p>
    <w:p>
      <w:pPr>
        <w:pStyle w:val="5"/>
        <w:numPr>
          <w:numId w:val="0"/>
        </w:numPr>
        <w:bidi w:val="0"/>
        <w:spacing w:line="240" w:lineRule="auto"/>
        <w:ind w:leftChars="0"/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  <w:t>Master-apprentice method applied in the interview</w:t>
      </w:r>
    </w:p>
    <w:p>
      <w:pPr>
        <w:jc w:val="both"/>
        <w:rPr>
          <w:rFonts w:hint="default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p>
      <w:pPr>
        <w:jc w:val="both"/>
        <w:rPr>
          <w:rFonts w:hint="default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217C5"/>
    <w:rsid w:val="16D217C5"/>
    <w:rsid w:val="37672594"/>
    <w:rsid w:val="62C872B2"/>
    <w:rsid w:val="7D1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2021-07-28T04:01:00Z</dcterms:created>
  <dc:creator>kingsoft</dc:creator>
  <cp:lastModifiedBy>kingsoft</cp:lastModifiedBy>
  <dcterms:modified xsi:type="dcterms:W3CDTF">2021-07-28T07:31:31Z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