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 Field Study of Sensor Calibration</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pPr>
        <w:pStyle w:val="Heading2"/>
      </w:pPr>
      <w:r>
        <w:t>Setting and participants</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Data collection</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Case observations</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Lessons learned</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