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Evaluating Adaptive Sampling in Edge Devices</w:t>
      </w:r>
    </w:p>
    <w:p>
      <w:pPr>
        <w:jc w:val="center"/>
      </w:pPr>
      <w:r>
        <w:t>A. Researcher  ·  B. Researcher  ·  C. Researcher</w:t>
        <w:br/>
        <w:t>Department of Engineering  |  Example University  |  author@example.edu</w:t>
      </w:r>
    </w:p>
    <w:p>
      <w:r>
        <w:rPr>
          <w:b/>
        </w:rPr>
        <w:t xml:space="preserve">ABSTRACT  </w:t>
      </w:r>
      <w:r>
        <w:t>Purpose — assess adaptive sampling. Methods — repeated trials with controlled conditions. Results — consistent measurement trends. Conclusion — practical guidance for reproducible evaluations.</w:t>
      </w:r>
    </w:p>
    <w:p>
      <w:r>
        <w:rPr>
          <w:i/>
        </w:rPr>
        <w:t>Index Terms—</w:t>
      </w:r>
      <w:r>
        <w:t>measurement, evaluation, reproducibility, systems</w:t>
      </w:r>
    </w:p>
    <w:p>
      <w:pPr>
        <w:pStyle w:val="Heading2"/>
      </w:pPr>
      <w:r>
        <w:t>Background</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Study protocol</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Measured outcomes</w:t>
      </w:r>
    </w:p>
    <w:p>
      <w:r>
        <w:drawing>
          <wp:inline xmlns:a="http://schemas.openxmlformats.org/drawingml/2006/main" xmlns:pic="http://schemas.openxmlformats.org/drawingml/2006/picture">
            <wp:extent cx="5212080" cy="1719986"/>
            <wp:docPr id="1" name="Picture 1"/>
            <wp:cNvGraphicFramePr>
              <a:graphicFrameLocks noChangeAspect="1"/>
            </wp:cNvGraphicFramePr>
            <a:graphic>
              <a:graphicData uri="http://schemas.openxmlformats.org/drawingml/2006/picture">
                <pic:pic>
                  <pic:nvPicPr>
                    <pic:cNvPr id="0" name="fig_08.png"/>
                    <pic:cNvPicPr/>
                  </pic:nvPicPr>
                  <pic:blipFill>
                    <a:blip r:embed="rId9"/>
                    <a:stretch>
                      <a:fillRect/>
                    </a:stretch>
                  </pic:blipFill>
                  <pic:spPr>
                    <a:xfrm>
                      <a:off x="0" y="0"/>
                      <a:ext cx="5212080" cy="1719986"/>
                    </a:xfrm>
                    <a:prstGeom prst="rect"/>
                  </pic:spPr>
                </pic:pic>
              </a:graphicData>
            </a:graphic>
          </wp:inline>
        </w:drawing>
      </w:r>
    </w:p>
    <w:p>
      <w:pPr>
        <w:jc w:val="center"/>
      </w:pPr>
      <w:r>
        <w:t>Fig. 1. Variation in adaptive sampling results.</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pPr>
        <w:pStyle w:val="Heading2"/>
      </w:pPr>
      <w:r>
        <w:t>Conclusion</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References</w:t>
      </w:r>
    </w:p>
    <w:p>
      <w:r>
        <w:t>[1] A. Author and B. Author, “Example study on reliable measurements,” Proceedings of a Technical Conference, pp. 12–18, 2025.</w:t>
      </w:r>
    </w:p>
    <w:p>
      <w:r>
        <w:t>[2] A. Author and B. Author, “Example study on reliable measurements,” Proceedings of a Technical Conference, pp. 20–26, 2025.</w:t>
      </w:r>
    </w:p>
    <w:p>
      <w:r>
        <w:t>[3] A. Author and B. Author, “Example study on reliable measurements,” Proceedings of a Technical Conference, pp. 28–34, 2025.</w:t>
      </w:r>
    </w:p>
    <w:sectPr w:rsidR="00FC693F" w:rsidRPr="0006063C" w:rsidSect="00034616">
      <w:pgSz w:w="11909" w:h="16834"/>
      <w:pgMar w:top="979"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