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8"/>
        </w:rPr>
        <w:t>Observing Temporal Drift in Distributed Measurements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r>
        <w:drawing>
          <wp:inline xmlns:a="http://schemas.openxmlformats.org/drawingml/2006/main" xmlns:pic="http://schemas.openxmlformats.org/drawingml/2006/picture">
            <wp:extent cx="5212080" cy="1719986"/>
            <wp:docPr id="1" name="Picture 1"/>
            <wp:cNvGraphicFramePr>
              <a:graphicFrameLocks noChangeAspect="1"/>
            </wp:cNvGraphicFramePr>
            <a:graphic>
              <a:graphicData uri="http://schemas.openxmlformats.org/drawingml/2006/picture">
                <pic:pic>
                  <pic:nvPicPr>
                    <pic:cNvPr id="0" name="fig_04.png"/>
                    <pic:cNvPicPr/>
                  </pic:nvPicPr>
                  <pic:blipFill>
                    <a:blip r:embed="rId9"/>
                    <a:stretch>
                      <a:fillRect/>
                    </a:stretch>
                  </pic:blipFill>
                  <pic:spPr>
                    <a:xfrm>
                      <a:off x="0" y="0"/>
                      <a:ext cx="5212080" cy="1719986"/>
                    </a:xfrm>
                    <a:prstGeom prst="rect"/>
                  </pic:spPr>
                </pic:pic>
              </a:graphicData>
            </a:graphic>
          </wp:inline>
        </w:drawing>
      </w:r>
    </w:p>
    <w:p>
      <w:pPr>
        <w:jc w:val="center"/>
      </w:pPr>
      <w:r>
        <w:t>Fig. 1. Overview of observed variation across measurement windows.</w:t>
      </w:r>
    </w:p>
    <w:p>
      <w:pPr>
        <w:pStyle w:val="Heading2"/>
      </w:pPr>
      <w:r>
        <w:t>Introduction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Observation framework</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Interpretation</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Conclusion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720"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