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Resource-Aware Scheduling for Embedded Workloads</w:t>
      </w:r>
    </w:p>
    <w:p>
      <w:pPr>
        <w:jc w:val="center"/>
      </w:pPr>
      <w:r>
        <w:t>A. Researcher  ·  B. Researcher  ·  C. Researcher</w:t>
        <w:br/>
        <w:t>Department of Engineering  |  Example University  |  author@example.edu</w:t>
      </w:r>
    </w:p>
    <w:p>
      <w:r>
        <w:rPr>
          <w:b/>
        </w:rPr>
        <w:t>Abstract—</w:t>
      </w:r>
      <w:r>
        <w:t>This conference-paper example demonstrates a distinct document composition while retaining recognizable academic components. The study investigates measurement reliability, compares controlled observations, and identifies practical limitations.</w:t>
      </w:r>
    </w:p>
    <w:p>
      <w:r>
        <w:rPr>
          <w:i/>
        </w:rPr>
        <w:t>Index Terms—</w:t>
      </w:r>
      <w:r>
        <w:t>measurement, evaluation, reproducibility, systems</w:t>
      </w:r>
    </w:p>
    <w:p>
      <w:pPr>
        <w:pStyle w:val="Heading2"/>
      </w:pPr>
      <w:r>
        <w:t>I. INTRODUCTION</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pPr>
        <w:pStyle w:val="Heading2"/>
      </w:pPr>
      <w:r>
        <w:t>II. IMPLEMENTATION</w:t>
      </w:r>
    </w:p>
    <w:p>
      <w:r>
        <w:drawing>
          <wp:inline xmlns:a="http://schemas.openxmlformats.org/drawingml/2006/main" xmlns:pic="http://schemas.openxmlformats.org/drawingml/2006/picture">
            <wp:extent cx="2651760" cy="875081"/>
            <wp:docPr id="1" name="Picture 1"/>
            <wp:cNvGraphicFramePr>
              <a:graphicFrameLocks noChangeAspect="1"/>
            </wp:cNvGraphicFramePr>
            <a:graphic>
              <a:graphicData uri="http://schemas.openxmlformats.org/drawingml/2006/picture">
                <pic:pic>
                  <pic:nvPicPr>
                    <pic:cNvPr id="0" name="fig_10.png"/>
                    <pic:cNvPicPr/>
                  </pic:nvPicPr>
                  <pic:blipFill>
                    <a:blip r:embed="rId9"/>
                    <a:stretch>
                      <a:fillRect/>
                    </a:stretch>
                  </pic:blipFill>
                  <pic:spPr>
                    <a:xfrm>
                      <a:off x="0" y="0"/>
                      <a:ext cx="2651760" cy="875081"/>
                    </a:xfrm>
                    <a:prstGeom prst="rect"/>
                  </pic:spPr>
                </pic:pic>
              </a:graphicData>
            </a:graphic>
          </wp:inline>
        </w:drawing>
      </w:r>
    </w:p>
    <w:p>
      <w:pPr>
        <w:jc w:val="center"/>
      </w:pPr>
      <w:r>
        <w:t>Fig. 1. Resource utilization over repeated workloads.</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pPr>
        <w:pStyle w:val="Heading2"/>
      </w:pPr>
      <w:r>
        <w:t>III. EVALUATION</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pPr>
        <w:pStyle w:val="Heading2"/>
      </w:pPr>
      <w:r>
        <w:t>IV. CONCLUSION</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pPr>
        <w:pStyle w:val="Heading2"/>
      </w:pPr>
      <w:r>
        <w:t>References</w:t>
      </w:r>
    </w:p>
    <w:p>
      <w:r>
        <w:t>[1] A. Author and B. Author, “Example study on reliable measurements,” Proceedings of a Technical Conference, pp. 12–18, 2025.</w:t>
      </w:r>
    </w:p>
    <w:p>
      <w:r>
        <w:t>[2] A. Author and B. Author, “Example study on reliable measurements,” Proceedings of a Technical Conference, pp. 20–26, 2025.</w:t>
      </w:r>
    </w:p>
    <w:p>
      <w:r>
        <w:t>[3] A. Author and B. Author, “Example study on reliable measurements,” Proceedings of a Technical Conference, pp. 28–34, 2025.</w:t>
      </w:r>
    </w:p>
    <w:sectPr w:rsidR="00FC693F" w:rsidRPr="0006063C" w:rsidSect="00034616">
      <w:pgSz w:w="11909" w:h="16834"/>
      <w:pgMar w:top="979" w:right="1080" w:bottom="864" w:left="1080" w:header="720" w:footer="720" w:gutter="0"/>
      <w:cols w:space="720"/>
      <w:docGrid w:linePitch="360"/>
      <w:cols w:num="2" w:space="4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Times New Roman" w:hAnsi="Times New Roman"/>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